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9A" w:rsidRDefault="0075149A" w:rsidP="0075149A">
      <w:pPr>
        <w:keepNext/>
        <w:spacing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en-US" w:bidi="en-US"/>
        </w:rPr>
      </w:pPr>
      <w:r w:rsidRPr="00782EB2">
        <w:rPr>
          <w:rFonts w:ascii="Arial" w:eastAsia="Times New Roman" w:hAnsi="Arial" w:cs="Arial"/>
          <w:bCs/>
          <w:kern w:val="32"/>
          <w:sz w:val="24"/>
          <w:szCs w:val="24"/>
          <w:lang w:eastAsia="en-US" w:bidi="en-US"/>
        </w:rPr>
        <w:t xml:space="preserve">Notes to the Annual Financial Statements </w:t>
      </w:r>
    </w:p>
    <w:p w:rsidR="0075149A" w:rsidRPr="00782EB2" w:rsidRDefault="0075149A" w:rsidP="0075149A">
      <w:pPr>
        <w:keepNext/>
        <w:spacing w:line="240" w:lineRule="auto"/>
        <w:outlineLvl w:val="0"/>
        <w:rPr>
          <w:rFonts w:ascii="Arial" w:eastAsia="Times New Roman" w:hAnsi="Arial" w:cs="Arial"/>
          <w:szCs w:val="20"/>
          <w:lang w:eastAsia="en-US" w:bidi="en-US"/>
        </w:rPr>
      </w:pPr>
      <w:proofErr w:type="gramStart"/>
      <w:r w:rsidRPr="00782EB2">
        <w:rPr>
          <w:rFonts w:ascii="Arial" w:eastAsia="Times New Roman" w:hAnsi="Arial" w:cs="Arial"/>
          <w:szCs w:val="20"/>
          <w:lang w:eastAsia="en-US" w:bidi="en-US"/>
        </w:rPr>
        <w:t>for</w:t>
      </w:r>
      <w:proofErr w:type="gramEnd"/>
      <w:r w:rsidRPr="00782EB2">
        <w:rPr>
          <w:rFonts w:ascii="Arial" w:eastAsia="Times New Roman" w:hAnsi="Arial" w:cs="Arial"/>
          <w:szCs w:val="20"/>
          <w:lang w:eastAsia="en-US" w:bidi="en-US"/>
        </w:rPr>
        <w:t xml:space="preserve"> the year ended 31 March 2019</w:t>
      </w: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Arial" w:eastAsia="Times New Roman" w:hAnsi="Arial" w:cs="Arial"/>
          <w:b/>
          <w:szCs w:val="20"/>
          <w:lang w:eastAsia="en-US" w:bidi="en-US"/>
        </w:rPr>
      </w:pPr>
      <w:r w:rsidRPr="00FD1D07">
        <w:rPr>
          <w:rFonts w:ascii="Arial" w:eastAsia="Times New Roman" w:hAnsi="Arial" w:cs="Arial"/>
          <w:b/>
          <w:szCs w:val="20"/>
          <w:lang w:eastAsia="en-US" w:bidi="en-US"/>
        </w:rPr>
        <w:t>Annexure 3.1.5 Equities for the year ended March 2019</w:t>
      </w:r>
    </w:p>
    <w:p w:rsidR="0075149A" w:rsidRDefault="0075149A" w:rsidP="0075149A">
      <w:pPr>
        <w:keepNext/>
        <w:spacing w:line="240" w:lineRule="auto"/>
        <w:outlineLvl w:val="0"/>
        <w:rPr>
          <w:rFonts w:ascii="Arial" w:eastAsia="Times New Roman" w:hAnsi="Arial" w:cs="Arial"/>
          <w:b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Arial" w:eastAsia="Times New Roman" w:hAnsi="Arial" w:cs="Arial"/>
          <w:b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Arial" w:eastAsia="Times New Roman" w:hAnsi="Arial" w:cs="Arial"/>
          <w:b/>
          <w:szCs w:val="20"/>
          <w:lang w:eastAsia="en-US" w:bidi="en-US"/>
        </w:rPr>
      </w:pPr>
    </w:p>
    <w:p w:rsidR="0075149A" w:rsidRPr="00FD1D07" w:rsidRDefault="0075149A" w:rsidP="0075149A">
      <w:pPr>
        <w:keepNext/>
        <w:spacing w:line="240" w:lineRule="auto"/>
        <w:outlineLvl w:val="0"/>
        <w:rPr>
          <w:rFonts w:ascii="Arial" w:eastAsia="Times New Roman" w:hAnsi="Arial" w:cs="Arial"/>
          <w:b/>
          <w:szCs w:val="20"/>
          <w:lang w:eastAsia="en-US" w:bidi="en-US"/>
        </w:rPr>
      </w:pPr>
    </w:p>
    <w:p w:rsidR="0075149A" w:rsidRPr="00FD1D07" w:rsidRDefault="0075149A" w:rsidP="0075149A">
      <w:pPr>
        <w:tabs>
          <w:tab w:val="left" w:pos="540"/>
          <w:tab w:val="left" w:pos="1260"/>
        </w:tabs>
        <w:spacing w:line="240" w:lineRule="auto"/>
        <w:jc w:val="both"/>
        <w:rPr>
          <w:rFonts w:ascii="Arial Narrow" w:eastAsia="Times New Roman" w:hAnsi="Arial Narrow" w:cs="Times New Roman"/>
          <w:szCs w:val="20"/>
          <w:lang w:val="en-GB" w:eastAsia="en-US" w:bidi="en-US"/>
        </w:rPr>
      </w:pP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t>3.1.5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6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Arial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Arial"/>
                <w:b/>
                <w:bCs/>
                <w:kern w:val="32"/>
                <w:szCs w:val="20"/>
                <w:lang w:eastAsia="en-US" w:bidi="en-US"/>
              </w:rPr>
              <w:t>1. Primary listing on the JSE (Other)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Arial"/>
                <w:b/>
                <w:bCs/>
                <w:kern w:val="32"/>
                <w:szCs w:val="20"/>
                <w:lang w:eastAsia="en-US" w:bidi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Arial"/>
                <w:b/>
                <w:bCs/>
                <w:kern w:val="32"/>
                <w:szCs w:val="20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Arial"/>
                <w:b/>
                <w:bCs/>
                <w:kern w:val="32"/>
                <w:szCs w:val="20"/>
                <w:lang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Arial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Arial"/>
                <w:b/>
                <w:szCs w:val="20"/>
                <w:lang w:eastAsia="en-US" w:bidi="en-US"/>
              </w:rPr>
              <w:t>297 446 377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Shoprite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591 338 502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67 361 516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10 684 210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proofErr w:type="spellStart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Capitec</w:t>
            </w:r>
            <w:proofErr w:type="spellEnd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 xml:space="preserve"> Bank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115 626 991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7 859 135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10 609 754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proofErr w:type="spellStart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Growthpoint</w:t>
            </w:r>
            <w:proofErr w:type="spellEnd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 xml:space="preserve"> Properties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2 970 981 288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400 091 193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9 770 227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Bidvest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338 120 055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49 374 272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9 553 922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ABSA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847 750 679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59 778 248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9 092 272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Distell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222 382 356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69 808 597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8 993 442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proofErr w:type="spellStart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Multichoice</w:t>
            </w:r>
            <w:proofErr w:type="spellEnd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 xml:space="preserve"> Group Limited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438 837 468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72 554 670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8 757 349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RMB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1 411 703 218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109 453 404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8 316 270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Discovery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658 290 736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50 881 456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6 960 583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Redefine Properties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5 765 799 764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714 475 145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6 930 409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proofErr w:type="spellStart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Exxaro</w:t>
            </w:r>
            <w:proofErr w:type="spellEnd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 xml:space="preserve"> Resources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358 706 754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40 411 720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6 641 666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Mr Price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256 945 727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34 235 273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6 488 269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Woolworths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1 048 466 077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139 085 522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6 464 695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proofErr w:type="spellStart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Anglogold</w:t>
            </w:r>
            <w:proofErr w:type="spellEnd"/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 xml:space="preserve"> Ashanti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413 988 500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33 740 004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6 464 247</w:t>
            </w:r>
          </w:p>
        </w:tc>
      </w:tr>
      <w:tr w:rsidR="0075149A" w:rsidRPr="00FD1D0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Anglo American Platinum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269 681 886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8 767 188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szCs w:val="20"/>
                <w:lang w:eastAsia="en-US" w:bidi="en-US"/>
              </w:rPr>
              <w:t>6 453 965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Life Healthcare Group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1 467 349 162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236 699 498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6 353 015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Impala Platinum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734 778 378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98 789 572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6 026 164</w:t>
            </w:r>
          </w:p>
        </w:tc>
      </w:tr>
    </w:tbl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t>3.1.5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  <w:r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 xml:space="preserve"> (continued)</w:t>
      </w: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6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Tiger Brands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189 818 926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22 514 820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5 966 427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Mondi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118 312 975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18 523 947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5 905 064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Clicks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262 083 439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31 634 713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5 827 430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The Spar Group Ltd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192 602 355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29 903 125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5 737 812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PSG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232 108 050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21 463 434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5 612 688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Aspen </w:t>
            </w:r>
            <w:proofErr w:type="spellStart"/>
            <w:r w:rsidRPr="00797AF7">
              <w:rPr>
                <w:rFonts w:ascii="Arial Narrow" w:hAnsi="Arial Narrow"/>
                <w:szCs w:val="20"/>
              </w:rPr>
              <w:t>Pharmacare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Holding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456 451 541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59 615 557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      5 543 054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Sappi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557 202 573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82 425 980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5 493 692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Netcare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1 452 072 695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233 522 772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5 452 757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The Foschini Group Ltd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236 756 814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33 006 888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5 380 123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Barloworld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212 692 583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35 653 657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4 528 014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Telkom SA SOC Ltd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511 140 239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60 817 266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4 434 795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Truworths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International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442 746 445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63 008 876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4 372 186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lastRenderedPageBreak/>
              <w:t>Avi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352 665 190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47 678 765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4 304 916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Pick 'n Pay Stores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493 450 321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53 577 085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3 558 054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Investec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318 904 709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40 958 065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3 454 403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Rand Merchant Investment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1 531 807 770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98 881 646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3 315 502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Northam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Platinum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509 781 212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48 183 737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3 059 667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Sibanye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Gold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2 271 760 491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190 582 789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2 997 867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Gold Fields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828 632 707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53 309 517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2 840 331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Adcock Ingram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175 748 048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44 459 408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2 734 254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Hyprop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Investments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255 894 516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32 566 515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2 295 288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Motus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Holding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201 971 450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27 008 991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      2 209 876 </w:t>
            </w:r>
          </w:p>
        </w:tc>
      </w:tr>
    </w:tbl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t>3.1.5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  <w:r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 xml:space="preserve"> (continued)</w:t>
      </w: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6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Vukile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Property Fund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920 962 145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108 585 299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2 171 706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MMI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1 497 475 356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128 994 224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2 140 014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Fortress Income Fund Ltd (A Linked Units)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1 189 915 138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112 361 800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2 062 963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SA Corporate Real Estate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2 530 689 337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552 514 724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2 011 154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Coronation Fund Managers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349 799 102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41 514 381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1 907 171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African Rainbow Minerals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221 943 399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10 887 681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1 847 639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KAP Industrial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2 704 137 238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261 283 561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1 836 823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Resilient REIT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424 954 000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33 491 240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1 831 971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Santam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115 131 417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5 903 521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1 778 259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Kumba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Iron Ore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322 085 974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4 026 704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1 732 691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PPC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1 593 114 301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367 934 756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1 729 293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Datatec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219 200 000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51 006 533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1 695 457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Super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371 507 794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46 716 302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1 554 719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Reunert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184 639 796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21 644 402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1 536 753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Ayo Technology Solutions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344 125 194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99 782 655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1 496 740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Liberty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286 202 373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14 666 946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1 481 802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Pioneer Foods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221 632 463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18 384 781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1 472 989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Imperial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201 971 450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23 260 728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1 392 620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Dis-</w:t>
            </w:r>
            <w:proofErr w:type="spellStart"/>
            <w:r w:rsidRPr="00797AF7">
              <w:rPr>
                <w:rFonts w:ascii="Arial Narrow" w:hAnsi="Arial Narrow"/>
                <w:szCs w:val="20"/>
              </w:rPr>
              <w:t>Chem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Pharmacies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860 084 483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56 735 675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1 375 273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Murray &amp; Roberts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444 736 118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90 549 871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1 293 052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Assore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139 607 000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3 443 995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1 288 054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Fortress Income Fund Ltd (B Linked Units)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1 091 532 994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110 726 229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1 193 629</w:t>
            </w:r>
          </w:p>
        </w:tc>
      </w:tr>
    </w:tbl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lastRenderedPageBreak/>
        <w:t>3.1.5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  <w:r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 xml:space="preserve"> (continued)</w:t>
      </w: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6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Equities Property Fund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503 416 786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58 110 523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1 133 736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JSE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86 877 600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8 578 923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1 133 533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AECI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121 829 083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11 444 820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1 095 956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Attacq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749 922 777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68 537 107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983 507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Liberty Two Degrees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908 443 334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147 830 640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983 074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Massmart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220 597 363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11 667 598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927 574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Astral Foods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42 890 385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5 503 429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922 815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Wilson </w:t>
            </w:r>
            <w:proofErr w:type="spellStart"/>
            <w:r w:rsidRPr="00797AF7">
              <w:rPr>
                <w:rFonts w:ascii="Arial Narrow" w:hAnsi="Arial Narrow"/>
                <w:szCs w:val="20"/>
              </w:rPr>
              <w:t>Bayly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</w:t>
            </w:r>
            <w:proofErr w:type="spellStart"/>
            <w:r w:rsidRPr="00797AF7">
              <w:rPr>
                <w:rFonts w:ascii="Arial Narrow" w:hAnsi="Arial Narrow"/>
                <w:szCs w:val="20"/>
              </w:rPr>
              <w:t>Hlm-Ovcon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59 890 514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8 594 361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922 519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Famous Brands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100 066 219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10 677 270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908 636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Emira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Property Fund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522 667 247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62 592 540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865 029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Nampak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689 811 504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71 950 629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807 286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Libstar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Holding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681 921 408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95 105 458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         763 697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Advtech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546 612 919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61 020 343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750 550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Investec Property Fund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736 290 993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47 342 759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707 774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Pepkor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3 450 000 000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36 842 779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         648 433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Harmony Gold Mining Co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539 707 240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23 719 446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641 374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Trencor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173 677 833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23 284 006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621 683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Mpact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173 304 517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23 323 307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570 255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Zeder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Investments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1 715 179 121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136 485 868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562 322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Grinrod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762 553 314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72 379 203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553 701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Curro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412 087 989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21 694 202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514 803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Raubex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181 750 036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24 189 438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486 691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Cashbuild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24 989 811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1 962 310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485 672</w:t>
            </w:r>
          </w:p>
        </w:tc>
      </w:tr>
    </w:tbl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t>3.1.5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  <w:r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 xml:space="preserve"> (continued)</w:t>
      </w: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6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Oceana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135 526 154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6 209 427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481 231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African Oxygen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342 852 910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19 885 117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478 237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Transaction Capital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611 652 198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25 859 674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460 302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Tongaat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</w:t>
            </w:r>
            <w:proofErr w:type="spellStart"/>
            <w:r w:rsidRPr="00797AF7">
              <w:rPr>
                <w:rFonts w:ascii="Arial Narrow" w:hAnsi="Arial Narrow"/>
                <w:szCs w:val="20"/>
              </w:rPr>
              <w:t>Hulett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135 112 506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21 042 410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453 674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Metair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Investments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198 985 886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19 511 395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446 616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Omnia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69 052 173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8 317 959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423 384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Peregrine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220 467 242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21 990 696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413 425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RCL Foods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940 880 696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30 539 591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412 284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Dipula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Income Fund Ltd (B-Linked Units)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264 665 819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52 936 004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411 313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Alexander Forbes Group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1 341 426 963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81 145 539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408 162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AdBEE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(RF) Ltd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25 842 959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6 818 053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400 424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Hudaco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Industries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34 153 531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3 058 948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397 694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Dipula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Income Fund Ltd (A Linked Units)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264 665 819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36 777 995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393 525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RH </w:t>
            </w:r>
            <w:proofErr w:type="spellStart"/>
            <w:r w:rsidRPr="00797AF7">
              <w:rPr>
                <w:rFonts w:ascii="Arial Narrow" w:hAnsi="Arial Narrow"/>
                <w:szCs w:val="20"/>
              </w:rPr>
              <w:t>Bophelo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Limited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51 250 000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43 701 804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393 316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lastRenderedPageBreak/>
              <w:t>Sea Harvest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294 293 814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26 325 000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373 815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Royal </w:t>
            </w:r>
            <w:proofErr w:type="spellStart"/>
            <w:r w:rsidRPr="00797AF7">
              <w:rPr>
                <w:rFonts w:ascii="Arial Narrow" w:hAnsi="Arial Narrow"/>
                <w:szCs w:val="20"/>
              </w:rPr>
              <w:t>Bafokeng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Platinum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257 277 317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11 199 026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369 568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Arrowhead Properties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1 047 678 485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96 174 954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359 694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Rhodes Food Group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262 762 018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19 746 889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324 836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Allied Electronics Corporation Limited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399 380 572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14 718 434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289 953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Texton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Property Fund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376 066 766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71 426 884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285 708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City Lodge Hotels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43 573 893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2 303 378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275 277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Rebosis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Property Fund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699 253 200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147 474 649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263 980</w:t>
            </w:r>
          </w:p>
        </w:tc>
      </w:tr>
    </w:tbl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bookmarkStart w:id="0" w:name="_Hlk13468068"/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t>3.1.5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  <w:r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 xml:space="preserve"> (continued)</w:t>
      </w: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6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bookmarkEnd w:id="0"/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Accelerate Property Fund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994 310 123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93 728 676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257 754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Capital Appreciation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1 555 000 000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333 333 333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246 667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Clover Industries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191 911 737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10 274 987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243 003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Lewis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83 010 692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7 404 932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230 293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PSG </w:t>
            </w:r>
            <w:proofErr w:type="spellStart"/>
            <w:r w:rsidRPr="00797AF7">
              <w:rPr>
                <w:rFonts w:ascii="Arial Narrow" w:hAnsi="Arial Narrow"/>
                <w:szCs w:val="20"/>
              </w:rPr>
              <w:t>Konsult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1 364 885 118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21 498 868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208 754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Octodec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Investments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266 197 535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10 004 495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192 587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Premier Food Fishing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260 000 000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62 380 621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187 142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Arcelor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Mittal SA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1 138 059 825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55 015 567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184 852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szCs w:val="20"/>
              </w:rPr>
              <w:t>Ascendis</w:t>
            </w:r>
            <w:proofErr w:type="spellEnd"/>
            <w:r w:rsidRPr="00797AF7">
              <w:rPr>
                <w:rFonts w:ascii="Arial Narrow" w:hAnsi="Arial Narrow"/>
                <w:szCs w:val="20"/>
              </w:rPr>
              <w:t xml:space="preserve"> Health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489 469 959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46 909 651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163 715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EOH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176 544 961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15 366 015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159 807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both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Lighthouse Capital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457 790 136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22 885 914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tabs>
                <w:tab w:val="decimal" w:pos="7938"/>
                <w:tab w:val="decimal" w:pos="9639"/>
              </w:tabs>
              <w:jc w:val="right"/>
              <w:rPr>
                <w:rFonts w:ascii="Arial Narrow" w:hAnsi="Arial Narrow"/>
                <w:szCs w:val="20"/>
              </w:rPr>
            </w:pPr>
            <w:r w:rsidRPr="00797AF7">
              <w:rPr>
                <w:rFonts w:ascii="Arial Narrow" w:hAnsi="Arial Narrow"/>
                <w:szCs w:val="20"/>
              </w:rPr>
              <w:t xml:space="preserve">         154 480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Efora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Energy Limited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1 103 834 635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953 078 829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142 962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Italtile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1 295 254 148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10 200 965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137 713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Gaia Infrastructure Cap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55 151 000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22 819 887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135 322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Brimston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Investment Corp Ltd-N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219 558 175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13 653 464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129 025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Hulisani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50 000 020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17 491 303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125 063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Afrimat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143 262 412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4 049 897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123 522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Blue Label Telecoms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913 655 873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31 990 915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119 966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African Phoenix Investments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1 427 005 272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214 567 338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118 012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Renergen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100 135 752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13 963 532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114 222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Delta Property Fund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714 229 718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65 264 770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114 213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Invicta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108 494 738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3 512 093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97 566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Spur Corporation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108 480 926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4 316 596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92 030</w:t>
            </w:r>
          </w:p>
        </w:tc>
      </w:tr>
    </w:tbl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lastRenderedPageBreak/>
        <w:t>3.</w:t>
      </w:r>
      <w:r w:rsidRPr="0075149A">
        <w:rPr>
          <w:rFonts w:ascii="Arial Narrow" w:eastAsia="Times New Roman" w:hAnsi="Arial Narrow" w:cs="Arial"/>
          <w:b/>
          <w:szCs w:val="20"/>
          <w:lang w:eastAsia="en-US" w:bidi="en-US"/>
        </w:rPr>
        <w:t>1</w:t>
      </w: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t>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  <w:r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 xml:space="preserve"> (continued)</w:t>
      </w: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6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Lond4life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914 159 909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20 040 560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91 786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Stadio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Holdings Limited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818 095 250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23 549 057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82 422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Huge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175 627 077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9 597 933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72 752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Adcorp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109 954 675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3 533 986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67 817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Enx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181 317 725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4 359 205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52 310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Hulamin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319 596 836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11 291 560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51 941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Rebosis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Property Fund 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63 266 012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2 220 047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46 599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Merafe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Resources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2 510 704 248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29 281 563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42 165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Balwin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Properties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472 192 592.0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15 182 187.0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39 170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Stor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>-Age Property Limited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392 986 858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2 786 965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35 980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Trellidor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Holdings Ltd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107 250 878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6 864 167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28 692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Afrocentric Investment Corporation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574 241 248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5 001 851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24 009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Safari Investments RSA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311 136 016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4 147 857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19 412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Zarclear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Holding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226 065 696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4 915 965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19 074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Spear REIT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188 888 709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1 946 950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19 002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Group Five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112 258 283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19 946 477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17 752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Comair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469 330 865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3 453 711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15 714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Novus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346 656 348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3 346 246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14 088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Clientele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335 221 759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856 818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13 358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Gemgro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Properties Limited (B Shares)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408 184 961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2 050 850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12 264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Caxton CTP Publish Print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386 981 607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1 489 395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12 213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Argent Industrial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82 368 934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2 162 146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11 567</w:t>
            </w:r>
          </w:p>
        </w:tc>
      </w:tr>
    </w:tbl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t>3.1.5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  <w:r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 xml:space="preserve"> (continued)</w:t>
      </w: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6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Ellies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620 158 235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80 413 155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10 454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Adaptit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152 513 154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1 929 760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10 054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Combined Motor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74 801 998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443 685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  9 007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Quantum Food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210 529 716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1 832 460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6 414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Alviva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143 899 787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253 941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  4 304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African Media Entertainment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8 100 934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100 850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  3 731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Basil Read Holdings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1 495 330 645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88 548 538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3 542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Hospitality Property Fund Ltd (B Linked Units)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578 154 207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275 731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2 705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Master Drilling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150 592 777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180 998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1 991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Tradehold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253 220 966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160 973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  1 904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Adcock Ingram Holdings Opt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8 000 000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2 143 166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643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Aveng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19 394 498 220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10 912 223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327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PBT Group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136 418 749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49 640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       79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Stefanutti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Stocks Holding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188 080 746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        </w:t>
            </w:r>
            <w:r>
              <w:rPr>
                <w:rFonts w:ascii="Arial Narrow" w:hAnsi="Arial Narrow"/>
                <w:color w:val="000000"/>
                <w:szCs w:val="20"/>
              </w:rPr>
              <w:t>0</w:t>
            </w: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Aep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Energy Africa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5 255 680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2 575 000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</w:tr>
    </w:tbl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lastRenderedPageBreak/>
        <w:t>3.1.5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  <w:r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 xml:space="preserve"> (continued)</w:t>
      </w: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6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tr w:rsidR="0075149A" w:rsidRPr="00FA6AE9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A6AE9" w:rsidRDefault="0075149A" w:rsidP="004E2225">
            <w:pPr>
              <w:jc w:val="both"/>
              <w:rPr>
                <w:rFonts w:ascii="Arial Narrow" w:hAnsi="Arial Narrow"/>
                <w:b/>
                <w:color w:val="000000"/>
                <w:szCs w:val="20"/>
              </w:rPr>
            </w:pPr>
            <w:r w:rsidRPr="00FA6AE9">
              <w:rPr>
                <w:rFonts w:ascii="Arial Narrow" w:hAnsi="Arial Narrow"/>
                <w:b/>
                <w:color w:val="000000"/>
                <w:szCs w:val="20"/>
              </w:rPr>
              <w:t>2.  Secondary listing on the JSE (Other)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FA6AE9" w:rsidRDefault="0075149A" w:rsidP="004E2225">
            <w:pPr>
              <w:jc w:val="right"/>
              <w:rPr>
                <w:rFonts w:ascii="Arial Narrow" w:hAnsi="Arial Narrow"/>
                <w:b/>
                <w:color w:val="000000"/>
                <w:szCs w:val="20"/>
              </w:rPr>
            </w:pPr>
            <w:r w:rsidRPr="00FA6AE9">
              <w:rPr>
                <w:rFonts w:ascii="Arial Narrow" w:hAnsi="Arial Narrow"/>
                <w:b/>
                <w:color w:val="000000"/>
                <w:szCs w:val="20"/>
              </w:rPr>
              <w:t>33 353 698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Quilter Plc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1 902 251 098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174 911 229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4 796 066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Investec Plc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682 121 211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55 996 229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4 669 526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Mediclinic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International Plc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737 243 810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52 814 400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3 009 893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Capital and Counties Properties Plc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850 820 151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54 849 752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2 507 731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Ecobank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Transnational </w:t>
            </w: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Inc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24 730 354 443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3 394 133 334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1 798 680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Grit Real Estate Income Group Limited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306 396 035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84 599 515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1 652 797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Anheuser-Busch </w:t>
            </w: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Inbev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SA NV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1 693 242 156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1 337 141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1 619 385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South32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5 046 520 346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42 595 278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1 597 323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Intu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Properties Plc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1 355 040 243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78 562 001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1 579 096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Brait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SE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525 599 215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51 597 671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1 238 344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Novare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Africa Property Fund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237 785 758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101 438 071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1 230 466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MAS Real Estate </w:t>
            </w: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Inc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645 343 798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54 175 848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1 186 451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Lonmin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Plc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282 784 288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82 532 582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1 183 517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Echo </w:t>
            </w: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Polska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Prop N. 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829 989 803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53 290 429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1 038 630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Vodacom Tanzania Plc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2 240 000 300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164 503 540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823 896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African Rainbow Capital Investments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1 045 047 714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139 951 865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775 333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Steinhoff International Holdings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4 309 727 144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346 949 155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652 264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Kenya Electricity Generating Co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6 594 522 339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495 348 189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401 886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Sirius Real Estate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1 022 140 875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28 538 435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343 888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Cipla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Quality Chemical industries Limited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3 651 909 200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312 000 000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238 302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Stenprop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Ltd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298 775 175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10 938 870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223 591 </w:t>
            </w:r>
          </w:p>
        </w:tc>
      </w:tr>
    </w:tbl>
    <w:p w:rsidR="0075149A" w:rsidRDefault="0075149A" w:rsidP="0075149A">
      <w:pPr>
        <w:keepNext/>
        <w:spacing w:line="240" w:lineRule="auto"/>
        <w:outlineLvl w:val="0"/>
        <w:rPr>
          <w:rFonts w:ascii="Cambria" w:eastAsia="Times New Roman" w:hAnsi="Cambria" w:cs="Arial"/>
          <w:bCs/>
          <w:kern w:val="32"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Cs w:val="20"/>
          <w:lang w:eastAsia="en-US" w:bidi="en-US"/>
        </w:rPr>
      </w:pPr>
    </w:p>
    <w:p w:rsidR="0075149A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  <w:r w:rsidRPr="00FD1D07">
        <w:rPr>
          <w:rFonts w:ascii="Arial Narrow" w:eastAsia="Times New Roman" w:hAnsi="Arial Narrow" w:cs="Arial"/>
          <w:b/>
          <w:szCs w:val="20"/>
          <w:lang w:eastAsia="en-US" w:bidi="en-US"/>
        </w:rPr>
        <w:t>3.1.5 Equities (breakdown of other</w:t>
      </w:r>
      <w:r w:rsidRPr="00FD1D07"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>)</w:t>
      </w:r>
      <w:r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  <w:t xml:space="preserve"> (continued)</w:t>
      </w:r>
    </w:p>
    <w:p w:rsidR="0075149A" w:rsidRPr="00FD1D07" w:rsidRDefault="0075149A" w:rsidP="0075149A">
      <w:pPr>
        <w:spacing w:line="240" w:lineRule="auto"/>
        <w:rPr>
          <w:rFonts w:ascii="Arial Narrow" w:eastAsia="Times New Roman" w:hAnsi="Arial Narrow" w:cs="Arial"/>
          <w:b/>
          <w:sz w:val="18"/>
          <w:szCs w:val="18"/>
          <w:lang w:eastAsia="en-US" w:bidi="en-US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310"/>
        <w:gridCol w:w="50"/>
        <w:gridCol w:w="1350"/>
        <w:gridCol w:w="900"/>
        <w:gridCol w:w="1440"/>
      </w:tblGrid>
      <w:tr w:rsidR="0075149A" w:rsidRPr="00FD1D07" w:rsidTr="004E2225">
        <w:trPr>
          <w:trHeight w:val="68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8"/>
                <w:szCs w:val="18"/>
                <w:lang w:eastAsia="en-US" w:bidi="en-US"/>
              </w:rPr>
            </w:pPr>
          </w:p>
          <w:p w:rsidR="0075149A" w:rsidRPr="00FD1D07" w:rsidRDefault="0075149A" w:rsidP="004E222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Total issued shares                 (number)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GEPF’s shareholding (number)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GEPF's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 xml:space="preserve">shareholding </w:t>
            </w:r>
          </w:p>
          <w:p w:rsidR="0075149A" w:rsidRPr="00FD1D07" w:rsidRDefault="0075149A" w:rsidP="004E2225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bCs/>
                <w:kern w:val="32"/>
                <w:szCs w:val="20"/>
                <w:lang w:eastAsia="en-US" w:bidi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Fair value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 xml:space="preserve"> 2019</w:t>
            </w:r>
          </w:p>
          <w:p w:rsidR="0075149A" w:rsidRPr="00FD1D07" w:rsidRDefault="0075149A" w:rsidP="004E2225">
            <w:pPr>
              <w:tabs>
                <w:tab w:val="decimal" w:pos="7938"/>
                <w:tab w:val="decimal" w:pos="9639"/>
              </w:tabs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</w:pPr>
            <w:r w:rsidRPr="00FD1D07">
              <w:rPr>
                <w:rFonts w:ascii="Arial Narrow" w:eastAsia="Times New Roman" w:hAnsi="Arial Narrow" w:cs="Times New Roman"/>
                <w:b/>
                <w:szCs w:val="20"/>
                <w:lang w:eastAsia="en-US" w:bidi="en-US"/>
              </w:rPr>
              <w:t>R’000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Pan African Resource Plc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2 234 687 537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117 870 192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205 094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Redefine International Plc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380 089 923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5 842 338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167 675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Resource Generation Ltd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581 380 338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113 309 805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113 310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Trustco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Group Holdings Ltd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974 265 619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6 191 195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64 822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Investec Australia Property Fund Ltd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478 802 454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4 067 322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51 655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Tiso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</w:t>
            </w: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Blackstar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Group SE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275 753 092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13 070 924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42 481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EPE Capital Partners Ltd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187 500 000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5 913 167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41 983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Grindrod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Shipping Holdings Limited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19 063 833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361 718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26 152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Gemfields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Group Ltd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1 431 685 553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13 764 402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25 739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797AF7">
              <w:rPr>
                <w:rFonts w:ascii="Arial Narrow" w:hAnsi="Arial Narrow"/>
                <w:color w:val="000000"/>
                <w:szCs w:val="20"/>
              </w:rPr>
              <w:t>Choppies</w:t>
            </w:r>
            <w:proofErr w:type="spellEnd"/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Enterprises Ltd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1 303 628 341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27 672 645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17 710 </w:t>
            </w:r>
          </w:p>
        </w:tc>
      </w:tr>
      <w:tr w:rsidR="0075149A" w:rsidRPr="00797AF7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Vivo Energy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1 265 002 519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516 480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797AF7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797AF7">
              <w:rPr>
                <w:rFonts w:ascii="Arial Narrow" w:hAnsi="Arial Narrow"/>
                <w:color w:val="000000"/>
                <w:szCs w:val="20"/>
              </w:rPr>
              <w:t xml:space="preserve">           11 957 </w:t>
            </w:r>
          </w:p>
        </w:tc>
      </w:tr>
      <w:tr w:rsidR="0075149A" w:rsidRPr="006E5845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Atlantic Leaf Properties Ltd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188 976 628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608 440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 xml:space="preserve">           10 648 </w:t>
            </w:r>
          </w:p>
        </w:tc>
      </w:tr>
      <w:tr w:rsidR="0075149A" w:rsidRPr="006E5845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6E5845">
              <w:rPr>
                <w:rFonts w:ascii="Arial Narrow" w:hAnsi="Arial Narrow"/>
                <w:color w:val="000000"/>
                <w:szCs w:val="20"/>
              </w:rPr>
              <w:t>Hammerson</w:t>
            </w:r>
            <w:proofErr w:type="spellEnd"/>
            <w:r w:rsidRPr="006E5845">
              <w:rPr>
                <w:rFonts w:ascii="Arial Narrow" w:hAnsi="Arial Narrow"/>
                <w:color w:val="000000"/>
                <w:szCs w:val="20"/>
              </w:rPr>
              <w:t xml:space="preserve"> Plc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766 293 613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65 417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 xml:space="preserve">             4 142 </w:t>
            </w:r>
          </w:p>
        </w:tc>
      </w:tr>
      <w:tr w:rsidR="0075149A" w:rsidRPr="006E5845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New Frontier Properties Ltd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160 935 407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466 313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 xml:space="preserve">             3 264 </w:t>
            </w:r>
          </w:p>
        </w:tc>
      </w:tr>
      <w:tr w:rsidR="0075149A" w:rsidRPr="006E5845" w:rsidTr="004E2225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both"/>
              <w:rPr>
                <w:rFonts w:ascii="Arial Narrow" w:hAnsi="Arial Narrow"/>
                <w:color w:val="000000"/>
                <w:szCs w:val="20"/>
              </w:rPr>
            </w:pPr>
            <w:proofErr w:type="spellStart"/>
            <w:r w:rsidRPr="006E5845">
              <w:rPr>
                <w:rFonts w:ascii="Arial Narrow" w:hAnsi="Arial Narrow"/>
                <w:color w:val="000000"/>
                <w:szCs w:val="20"/>
              </w:rPr>
              <w:t>DiamondCorp</w:t>
            </w:r>
            <w:proofErr w:type="spellEnd"/>
            <w:r w:rsidRPr="006E5845">
              <w:rPr>
                <w:rFonts w:ascii="Arial Narrow" w:hAnsi="Arial Narrow"/>
                <w:color w:val="000000"/>
                <w:szCs w:val="20"/>
              </w:rPr>
              <w:t xml:space="preserve"> Plc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478 739 580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7 584 000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9A" w:rsidRPr="006E5845" w:rsidRDefault="0075149A" w:rsidP="004E2225">
            <w:pPr>
              <w:jc w:val="right"/>
              <w:rPr>
                <w:rFonts w:ascii="Arial Narrow" w:hAnsi="Arial Narrow"/>
                <w:color w:val="000000"/>
                <w:szCs w:val="20"/>
              </w:rPr>
            </w:pPr>
            <w:r w:rsidRPr="006E5845">
              <w:rPr>
                <w:rFonts w:ascii="Arial Narrow" w:hAnsi="Arial Narrow"/>
                <w:color w:val="000000"/>
                <w:szCs w:val="20"/>
              </w:rPr>
              <w:t xml:space="preserve">                   </w:t>
            </w:r>
            <w:r>
              <w:rPr>
                <w:rFonts w:ascii="Arial Narrow" w:hAnsi="Arial Narrow"/>
                <w:color w:val="000000"/>
                <w:szCs w:val="20"/>
              </w:rPr>
              <w:t>0</w:t>
            </w:r>
            <w:r w:rsidRPr="006E5845">
              <w:rPr>
                <w:rFonts w:ascii="Arial Narrow" w:hAnsi="Arial Narrow"/>
                <w:color w:val="000000"/>
                <w:szCs w:val="20"/>
              </w:rPr>
              <w:t xml:space="preserve">  </w:t>
            </w:r>
          </w:p>
        </w:tc>
      </w:tr>
    </w:tbl>
    <w:p w:rsidR="00F15A2E" w:rsidRDefault="00F15A2E" w:rsidP="0075149A">
      <w:bookmarkStart w:id="1" w:name="_GoBack"/>
      <w:bookmarkEnd w:id="1"/>
    </w:p>
    <w:sectPr w:rsidR="00F15A2E" w:rsidSect="0075149A">
      <w:footerReference w:type="first" r:id="rId7"/>
      <w:pgSz w:w="11906" w:h="16838" w:code="9"/>
      <w:pgMar w:top="1418" w:right="1418" w:bottom="1418" w:left="2259" w:header="709" w:footer="9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EE" w:rsidRDefault="00331EEE" w:rsidP="0075149A">
      <w:pPr>
        <w:spacing w:line="240" w:lineRule="auto"/>
      </w:pPr>
      <w:r>
        <w:separator/>
      </w:r>
    </w:p>
  </w:endnote>
  <w:endnote w:type="continuationSeparator" w:id="0">
    <w:p w:rsidR="00331EEE" w:rsidRDefault="00331EEE" w:rsidP="00751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D07" w:rsidRDefault="00331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EE" w:rsidRDefault="00331EEE" w:rsidP="0075149A">
      <w:pPr>
        <w:spacing w:line="240" w:lineRule="auto"/>
      </w:pPr>
      <w:r>
        <w:separator/>
      </w:r>
    </w:p>
  </w:footnote>
  <w:footnote w:type="continuationSeparator" w:id="0">
    <w:p w:rsidR="00331EEE" w:rsidRDefault="00331EEE" w:rsidP="007514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515B"/>
    <w:multiLevelType w:val="hybridMultilevel"/>
    <w:tmpl w:val="C062FB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D0C76"/>
    <w:multiLevelType w:val="hybridMultilevel"/>
    <w:tmpl w:val="6A8847F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40B"/>
    <w:multiLevelType w:val="hybridMultilevel"/>
    <w:tmpl w:val="6FD26A04"/>
    <w:lvl w:ilvl="0" w:tplc="04604370">
      <w:numFmt w:val="bullet"/>
      <w:lvlText w:val="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92874"/>
    <w:multiLevelType w:val="hybridMultilevel"/>
    <w:tmpl w:val="4A54F1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C51615"/>
    <w:multiLevelType w:val="hybridMultilevel"/>
    <w:tmpl w:val="D56079E4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F42A3"/>
    <w:multiLevelType w:val="hybridMultilevel"/>
    <w:tmpl w:val="31C484E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7528E"/>
    <w:multiLevelType w:val="hybridMultilevel"/>
    <w:tmpl w:val="B42EB9C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0873E2"/>
    <w:multiLevelType w:val="hybridMultilevel"/>
    <w:tmpl w:val="D56079E4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7F5EBD"/>
    <w:multiLevelType w:val="hybridMultilevel"/>
    <w:tmpl w:val="A2541DC4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B913A5"/>
    <w:multiLevelType w:val="hybridMultilevel"/>
    <w:tmpl w:val="BADC227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324F5B"/>
    <w:multiLevelType w:val="hybridMultilevel"/>
    <w:tmpl w:val="2D128B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5716BA"/>
    <w:multiLevelType w:val="hybridMultilevel"/>
    <w:tmpl w:val="0344BF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670A36"/>
    <w:multiLevelType w:val="hybridMultilevel"/>
    <w:tmpl w:val="31C484E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3774B"/>
    <w:multiLevelType w:val="hybridMultilevel"/>
    <w:tmpl w:val="77B4A30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9A"/>
    <w:rsid w:val="00331EEE"/>
    <w:rsid w:val="0075149A"/>
    <w:rsid w:val="00F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CCE6A5-B81B-443C-BEB4-D695020E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49A"/>
    <w:pPr>
      <w:spacing w:after="0" w:line="288" w:lineRule="auto"/>
    </w:pPr>
    <w:rPr>
      <w:rFonts w:eastAsiaTheme="minorEastAsia"/>
      <w:sz w:val="2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49A"/>
    <w:pPr>
      <w:spacing w:before="240" w:after="240"/>
      <w:jc w:val="both"/>
      <w:outlineLvl w:val="0"/>
    </w:pPr>
    <w:rPr>
      <w:rFonts w:ascii="Arial" w:hAnsi="Arial" w:cs="Arial"/>
      <w:b/>
      <w:caps/>
      <w:color w:val="000000" w:themeColor="text1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49A"/>
    <w:rPr>
      <w:rFonts w:ascii="Arial" w:eastAsiaTheme="minorEastAsia" w:hAnsi="Arial" w:cs="Arial"/>
      <w:b/>
      <w:caps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14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9A"/>
    <w:rPr>
      <w:rFonts w:eastAsiaTheme="minorEastAsia"/>
      <w:sz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514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49A"/>
    <w:rPr>
      <w:rFonts w:eastAsiaTheme="minorEastAsia"/>
      <w:sz w:val="20"/>
      <w:lang w:eastAsia="zh-TW"/>
    </w:rPr>
  </w:style>
  <w:style w:type="paragraph" w:customStyle="1" w:styleId="BasicParagraph">
    <w:name w:val="[Basic Paragraph]"/>
    <w:basedOn w:val="Normal"/>
    <w:uiPriority w:val="99"/>
    <w:rsid w:val="0075149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9A"/>
    <w:rPr>
      <w:rFonts w:ascii="Segoe UI" w:eastAsiaTheme="minorEastAsia" w:hAnsi="Segoe UI" w:cs="Segoe UI"/>
      <w:sz w:val="18"/>
      <w:szCs w:val="18"/>
      <w:lang w:eastAsia="zh-TW"/>
    </w:rPr>
  </w:style>
  <w:style w:type="table" w:styleId="TableGrid">
    <w:name w:val="Table Grid"/>
    <w:basedOn w:val="TableNormal"/>
    <w:uiPriority w:val="39"/>
    <w:rsid w:val="0075149A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4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49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49A"/>
    <w:rPr>
      <w:rFonts w:eastAsiaTheme="minorEastAsia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49A"/>
    <w:rPr>
      <w:rFonts w:eastAsiaTheme="minorEastAsia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Mabesa</dc:creator>
  <cp:keywords/>
  <dc:description/>
  <cp:lastModifiedBy>Musa Mabesa</cp:lastModifiedBy>
  <cp:revision>1</cp:revision>
  <dcterms:created xsi:type="dcterms:W3CDTF">2020-01-14T15:09:00Z</dcterms:created>
  <dcterms:modified xsi:type="dcterms:W3CDTF">2020-01-14T15:14:00Z</dcterms:modified>
</cp:coreProperties>
</file>